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18,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001-41106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16"/>
        </w:trPr>
        <w:tc>
          <w:tcPr>
            <w:tcW w:w="4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8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March 18,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8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168275</wp:posOffset>
            </wp:positionV>
            <wp:extent cx="2846070" cy="471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Highlights Strong Balance Sheet with Approximately $75 Million in Cash and No Debt as Company Advances IHL-42X Development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well-funded to complete DReAMzz Phase 2 study while preserving capital for optimized Phase 3 program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Melbourne and New York – 18 March 2026 – </w:t>
      </w:r>
      <w:r>
        <w:rPr>
          <w:rFonts w:ascii="Times New Roman" w:cs="Times New Roman" w:eastAsia="Times New Roman" w:hAnsi="Times New Roman"/>
          <w:sz w:val="18"/>
          <w:szCs w:val="18"/>
          <w:b w:val="1"/>
          <w:bCs w:val="1"/>
          <w:color w:val="auto"/>
        </w:rPr>
        <w:t>Incannex Healthcare Inc. (Nasdaq: IXHL)</w:t>
      </w:r>
      <w:r>
        <w:rPr>
          <w:rFonts w:ascii="Times New Roman" w:cs="Times New Roman" w:eastAsia="Times New Roman" w:hAnsi="Times New Roman"/>
          <w:sz w:val="18"/>
          <w:szCs w:val="18"/>
          <w:color w:val="auto"/>
        </w:rPr>
        <w:t>, a clinical-stage biopharmaceutical company developing combination therapies for high-impact indications, today reported that it holds approximately $75 million in cash with no debt, following the completion of its recently announced financing led by dedicated healthcare-focused institutional investors.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trading levels, Incannex’s market capitalization is approximately $46 million — representing a significant disconnect to the Company’s $75 million cash position and resulting in a negative enterprise value. Management believes this disconnect does not reflect the Company’s financial strength or, the continued advancement of its clinical pipeline, or the external validation demonstrated by the participation of healthcare-focused institutional investors in the recently completed financing.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participation of healthcare-focused institutional investors in this financing reflects meaningful external validation of both the Company’s clinical program and the long-term value potential of IHL-42X. Incannex now holds approximately $75 million in cash with no debt, positioning the Company with a strong balance sheet as it advances IHL-42X for obstructive sleep apnea (OSA) and PSX-001 for the treatment of generalized anxiety disorder (GAD).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Position Supports Near- and Long-Term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recently completed financing are expected to fund the Company’s DReAMzz Phase 2 crossover dose-optimization study for IHL-42X. The study is designed to further optimize the ratio of the two active pharmaceutical ingredients within the drug candidate, with the goal of maximizing efficacy across both objective physiological endpoints and patient-reported outcomes.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Funding DReAMzz with proceeds from the recent financing allows the Company to preserve the majority of its existing capital for the next stage of development, including an optimized Phase 3 program.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board-approved share buyback program remains available and carries remaining capacity, providing management with an additional tool to deliver shareholder value when market conditions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Continued Progress Advancing IHL-42X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past year, Incannex has made substantial progress advancing the clinical development of IHL-42X,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Phase 2 clinical results demonstrating statistically significant improvements in obstructive sleep apnea outcomes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into the DReAMzz Phase 2 crossover dose-optimization study, designed to further enhance efficacy ahead of Phase 3 and supported by FDA Fast Track designation</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Clinical Advisory Board comprised of leading experts in the obstructive sleep apnea field, providing guidance on clinical strategy and study design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leading contract research organization and recruitment of clinical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clearly defined pathway toward an optimized Phase 3 development program</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positive Phase 2 results could have supported direct progression into Phase 3, the Company elected to undertake the DReAMzz study to further refine dosing and maximize the probability of success in late-stage development. Management believes this approach reduces execution risk, improves the probability of Phase 3 success, and represents the most capital-efficient route to a registrational outcome — with the potential to shorten the overall pathway to registration by optimizing the program ahead of Phase 3. Importantly, the Company expects to begin dosing patients in the DReAMzz study within the coming months — a near-term milestone that reflects continued forward momentum in the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Progress Advancing PSX-001 for Generalized Anxiety Disorder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IHL-42X, Incannex continues to advance PSX-001, the Company’s oral synthetic psilocybin therapy for the treatment of generalized anxiety disorder (GAD).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PSX-001 has generated positive clinical outcomes supporting the therapeutic potential of the program. The Company has established a leading clinical advisory board comprised of experts in psychiatry and psychedelic-assisted therapies, providing strategic guidance on clinical development and study design. With an open IND with the FDA and a clear pathway to upcoming milestones, management believes PSX-001 represents a high-value second clinical asset within the Incannex pipeline, targeting a large and substantially underserved patient population.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financing, Incannex is in a strong financial position — approximately $75 million in cash, no debt, and well-funded through our DReAMzz study and into an optimized Phase 3 program,” said Joel Latham, President and Chief Executive Officer of Incannex Healthcare. “This disciplined capital strategy allows us to advance IHL-42X from a position of financial strength while maintaining a robust balance sheet as we progress toward late-stage development and potential registration. The healthcare-focused institutional investors who participated in this financing share our conviction in the long-term value proposition of the program, and their participation reflects meaningful external validation of both the science and the strategy.”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Mr. Latham added, “At current levels, we are trading at a meaningful disconnect to our cash balance alone — before attributing any value to two advancing clinical programs, FDA Fast Track designation, or the contributions of our clinical advisory boards. We believe that disconnect is unsustainable, and that continued execution will correct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Positioned for Value Creation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$75 million in cash, no debt, two advancing clinical programs, and a clear development pathway for both IHL-42X and PSX-001, Incannex is moving forward from a position of financial and operational strength. Management believes the Company’s current valuation presents a compelling opportunity, and remains focused on executing its development strategy to drive recognition of the underlying value of its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the anticipated use of proceeds from the offering, the sufficiency of these proceeds to fund the DReAMzz Phase 2 study for IHL-42X, whether the Company’s current cash on hand will remain available to fund Phase 3 development and expectations regarding its use, the potential value of the Company’s drug candidates and business, including these values as compared to available cash, opportunities, the strategy, timing and future development of the Company’s drug candidates, including the anticipated timing for a Phase 3 clinical trial, the potential value of the Company’s drug candidates and results Phase 2 crossover dose trial, future use of the buyback program .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offering may not close, the risk that the Company’s estimates and current projections regarding the sufficiency of the proceeds of the offering and its current cash on hand to fund the Company’s planned operations may be incorrect and the Company may use these resources faster than anticipated, the risk that the common warrants may not be exercised or may not be exercised in cash,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2026-03-18T07:07:16Z</dcterms:created>
  <dcterms:modified xsi:type="dcterms:W3CDTF">2026-03-18T07:07:16Z</dcterms:modified>
</cp:coreProperties>
</file>