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16,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001-41106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Melbourne, VIC 3008 Australia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+61 409 840 786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Former Name or Former Address, if Changed Since Last Report):</w:t>
      </w:r>
      <w:r>
        <w:rPr>
          <w:rFonts w:ascii="Times New Roman" w:cs="Times New Roman" w:eastAsia="Times New Roman" w:hAnsi="Times New Roman"/>
          <w:sz w:val="18"/>
          <w:szCs w:val="18"/>
          <w:b w:val="1"/>
          <w:bCs w:val="1"/>
          <w:color w:val="auto"/>
        </w:rPr>
        <w:t xml:space="preserve"> Not Applicable</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16"/>
        </w:trPr>
        <w:tc>
          <w:tcPr>
            <w:tcW w:w="4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IXHL</w:t>
            </w:r>
          </w:p>
        </w:tc>
        <w:tc>
          <w:tcPr>
            <w:tcW w:w="8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2026, Incannex Healthcare Inc. (the “Company”) received a letter from the Listing Qualifications Department of The Nasdaq Stock Market LLC (“Nasdaq”) notifying the Company that the bid price deficiency under Nasdaq Listing Rule 5550(a)(2) (the "Minimum Bid Price Rule"), which the Company previously reported on in its Current Reports on Form 8-K filed on April 23, 2025 and Form 8-K filed on October 21, 2025, has been cured, and that the Company is now in compliance with the Minimum Bid Price Rule.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2026, the Company issued a press release announcing that it is now in compliance with the Minimum Bid Price Rule. A copy of the press release is attached as Exhibit 99.1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Incannex Healthcare Inc., dated March 17, 2026.</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17, 2026</w:t>
      </w:r>
      <w:r>
        <w:rPr>
          <w:sz w:val="20"/>
          <w:szCs w:val="20"/>
          <w:color w:val="auto"/>
        </w:rPr>
        <w:tab/>
      </w:r>
      <w:r>
        <w:rPr>
          <w:rFonts w:ascii="Times New Roman" w:cs="Times New Roman" w:eastAsia="Times New Roman" w:hAnsi="Times New Roman"/>
          <w:sz w:val="17"/>
          <w:szCs w:val="17"/>
          <w:b w:val="1"/>
          <w:bCs w:val="1"/>
          <w:color w:val="auto"/>
        </w:rPr>
        <w:t>Incannex Healthcare Inc.</w:t>
      </w:r>
    </w:p>
    <w:p>
      <w:pPr>
        <w:spacing w:after="0" w:line="283"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Joseph Swan</w:t>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173990</wp:posOffset>
            </wp:positionV>
            <wp:extent cx="2846070"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Regains Compliance with Nasdaq Minimum Bid Price Requirement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Melbourne and New York – March 17, 2026 – Incannex Healthcare Inc. (Nasdaq: IXHL), a clinical-stage biopharmaceutical company developing combination therapies for high-impact indications, today announced that it has regained compliance with the Nasdaq minimum bid price requirement under Nasdaq Listing Rule 5550(a)(2).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written confirmation from The Nasdaq Stock Market LLC that it has regained compliance with the minimum bid price requirement after its common stock maintained a closing bid price of $1.00 per share or greater for eleven consecutive business days, from February 27 through March 13,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Company has satisfied the requirements for continued listing on the Nasdaq Capital Market, and the matter is now considered closed.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pleased to have regained compliance with Nasdaq’s minimum bid price requirement, which reinforces our continued listing on the Nasdaq Capital Market and removes a technical overhang that has weighed on the Company,” said Joel Latham, President and Chief Executive Officer of Incannex Healthcare. “With approximately $75 million in cash, no debt, and a disciplined development strategy, we believe Incannex is exceptionally well positioned to advance our pipeline of differentiated clinical programs. This includes the continued development of IHL-42X for obstructive sleep apnea, which has demonstrated statistically significant Phase 2 results, as well as PSX-001 for the treatment of generalized anxiety disorder, which has also generated positive clinical outcomes. As we progress these programs through upcoming milestones, our focus remains on executing our clinical strategy, further de-risking our assets, and unlocking the long-term value of our pipeline for patients and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Incannex Healthcare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Incannex is leading the way in developing combination medicines that target the underlying biological pathways associated with chronic conditions, including obstructive sleep apnea, rheumatoid arthritis and generalized anxiety disorder. The Company is advancing three clinical-stage product candidates based on evidence-based innovation and supported by streamlined operations. Incannex's lead clinical program, IHL-42X, is an oral fixed-dose combination of dronabinol and acetazolamide designed to target underlying mechanisms and act synergistically in the treatment of obstructive sleep apnea. In a Phase 2 development program, IHL-675A is an oral fixed-dose combination of cannabidiol and hydroxychloroquine sulfate designed to act synergistically to alleviate inflammatory conditions, such as rheumatoid arthritis. Approved for Phase 2 clinical development, PSX-001 is an oral synthetic psilocybin treatment for the treatment of generalized anxiety disorder. Incannex's programs target disorders that have limited, inadequate, or no approved pharmaceutical treatment options. For additional information on Incannex, please visit our website at www.incannex.com.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United States Private Securities Litigation Reform Act of 1995, as amended to date. These statements include, but are not limited to, statements relating to preliminary financial information; any implication the Company will continue to meet the requirements for continued listing on the Nasdaq Capital Market; management’s evaluations and judgments regarding the Company’s research and development efforts and potential future commercialization, including any implications that the results of earlier clinical trials or interim or topline results will be representative or consistent with later clinical trials or their respective interim or final results; the potential benefits and safety of Incannex’s drug candidates and the market opportunity for these candidates and Company’s positioning and ability to execute on its strategies, de-risk its assets and create value for shareholders. When or if used in this communication, the words "may," "could," “considered,” "should," "anticipate," "believe," "estimate," "expect," "intend," "plan," “positioned,”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that Incannex may fail to maintain the listing of the Company’s common stock on Nasdaq and to comply with applicable listing requirements; the risk that the Company’s estimates and current projections regarding the sufficiency of its current cash on hand to fund the Company’s planned operations may be incorrect and the Company may use these resources faster than anticipated; the success or failure of Incannex’s development efforts, including Incannex’s ability to progress its drug candidates through clinical trials on the timelines expected and to obtain necessary regulatory approvals for commercialization of its drug candidates; and other risks described in the section entitled "Risk Factors" described in the prospectus supplement and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9" w:lineRule="exact"/>
        <w:rPr>
          <w:sz w:val="20"/>
          <w:szCs w:val="20"/>
          <w:color w:val="auto"/>
        </w:rPr>
      </w:pPr>
    </w:p>
    <w:p>
      <w:pPr>
        <w:ind w:right="9300" w:firstLine="8"/>
        <w:spacing w:after="0" w:line="255"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655-0924 </w:t>
      </w:r>
      <w:r>
        <w:rPr>
          <w:rFonts w:ascii="Times New Roman" w:cs="Times New Roman" w:eastAsia="Times New Roman" w:hAnsi="Times New Roman"/>
          <w:sz w:val="18"/>
          <w:szCs w:val="18"/>
          <w:b w:val="1"/>
          <w:bCs w:val="1"/>
          <w:color w:val="auto"/>
        </w:rPr>
        <w:t>investors@incannex.com media@incannex.com.au</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2026-03-17T07:05:07Z</dcterms:created>
  <dcterms:modified xsi:type="dcterms:W3CDTF">2026-03-17T07:05:07Z</dcterms:modified>
</cp:coreProperties>
</file>